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0" w:line="300" w:lineRule="auto"/>
        <w:rPr>
          <w:b w:val="1"/>
          <w:sz w:val="20"/>
          <w:szCs w:val="20"/>
        </w:rPr>
      </w:pPr>
      <w:r w:rsidDel="00000000" w:rsidR="00000000" w:rsidRPr="00000000">
        <w:rPr>
          <w:b w:val="1"/>
          <w:sz w:val="42"/>
          <w:szCs w:val="42"/>
          <w:rtl w:val="0"/>
        </w:rPr>
        <w:t xml:space="preserve">External Communications Assets</w:t>
      </w:r>
      <w:r w:rsidDel="00000000" w:rsidR="00000000" w:rsidRPr="00000000">
        <w:rPr>
          <w:rtl w:val="0"/>
        </w:rPr>
      </w:r>
    </w:p>
    <w:p w:rsidR="00000000" w:rsidDel="00000000" w:rsidP="00000000" w:rsidRDefault="00000000" w:rsidRPr="00000000" w14:paraId="00000002">
      <w:pPr>
        <w:widowControl w:val="0"/>
        <w:spacing w:after="0" w:before="0" w:line="300" w:lineRule="auto"/>
        <w:rPr>
          <w:b w:val="1"/>
          <w:sz w:val="32"/>
          <w:szCs w:val="32"/>
        </w:rPr>
      </w:pPr>
      <w:r w:rsidDel="00000000" w:rsidR="00000000" w:rsidRPr="00000000">
        <w:rPr>
          <w:b w:val="1"/>
          <w:sz w:val="32"/>
          <w:szCs w:val="32"/>
          <w:rtl w:val="0"/>
        </w:rPr>
        <w:t xml:space="preserve">Beiträge für soziale Medien: </w:t>
      </w:r>
    </w:p>
    <w:p w:rsidR="00000000" w:rsidDel="00000000" w:rsidP="00000000" w:rsidRDefault="00000000" w:rsidRPr="00000000" w14:paraId="00000003">
      <w:pPr>
        <w:widowControl w:val="0"/>
        <w:spacing w:after="0" w:line="300" w:lineRule="auto"/>
        <w:rPr>
          <w:i w:val="1"/>
        </w:rPr>
      </w:pPr>
      <w:r w:rsidDel="00000000" w:rsidR="00000000" w:rsidRPr="00000000">
        <w:rPr>
          <w:i w:val="1"/>
          <w:rtl w:val="0"/>
        </w:rPr>
        <w:t xml:space="preserve">LinkedIn (Feste Begrenzung: 3.000 Zeichen pro Beitrag (500–600 Wörter))</w:t>
      </w:r>
    </w:p>
    <w:p w:rsidR="00000000" w:rsidDel="00000000" w:rsidP="00000000" w:rsidRDefault="00000000" w:rsidRPr="00000000" w14:paraId="00000004">
      <w:pPr>
        <w:widowControl w:val="0"/>
        <w:spacing w:after="0" w:line="300" w:lineRule="auto"/>
        <w:rPr>
          <w:i w:val="1"/>
        </w:rPr>
      </w:pPr>
      <w:r w:rsidDel="00000000" w:rsidR="00000000" w:rsidRPr="00000000">
        <w:rPr>
          <w:i w:val="1"/>
          <w:rtl w:val="0"/>
        </w:rPr>
        <w:t xml:space="preserve">Instagram (Feste Begrenzung: 2.200 Zeichen pro Bildunterschrift (350–400 Wörter))</w:t>
      </w:r>
    </w:p>
    <w:p w:rsidR="00000000" w:rsidDel="00000000" w:rsidP="00000000" w:rsidRDefault="00000000" w:rsidRPr="00000000" w14:paraId="00000005">
      <w:pPr>
        <w:widowControl w:val="0"/>
        <w:spacing w:after="0" w:line="300" w:lineRule="auto"/>
        <w:rPr>
          <w:i w:val="1"/>
        </w:rPr>
      </w:pPr>
      <w:r w:rsidDel="00000000" w:rsidR="00000000" w:rsidRPr="00000000">
        <w:rPr>
          <w:i w:val="1"/>
          <w:rtl w:val="0"/>
        </w:rPr>
        <w:t xml:space="preserve">X (Feste Begrenzung: 280 Zeichen)</w:t>
      </w:r>
    </w:p>
    <w:p w:rsidR="00000000" w:rsidDel="00000000" w:rsidP="00000000" w:rsidRDefault="00000000" w:rsidRPr="00000000" w14:paraId="00000006">
      <w:pPr>
        <w:widowControl w:val="0"/>
        <w:spacing w:after="0" w:line="300" w:lineRule="auto"/>
        <w:rPr>
          <w:i w:val="1"/>
        </w:rPr>
      </w:pPr>
      <w:r w:rsidDel="00000000" w:rsidR="00000000" w:rsidRPr="00000000">
        <w:rPr>
          <w:rtl w:val="0"/>
        </w:rPr>
      </w:r>
    </w:p>
    <w:p w:rsidR="00000000" w:rsidDel="00000000" w:rsidP="00000000" w:rsidRDefault="00000000" w:rsidRPr="00000000" w14:paraId="00000007">
      <w:pPr>
        <w:widowControl w:val="0"/>
        <w:spacing w:after="200" w:before="0" w:line="300" w:lineRule="auto"/>
        <w:rPr/>
      </w:pPr>
      <w:r w:rsidDel="00000000" w:rsidR="00000000" w:rsidRPr="00000000">
        <w:rPr>
          <w:b w:val="1"/>
          <w:rtl w:val="0"/>
        </w:rPr>
        <w:t xml:space="preserve">Jeder kann Opfer häuslicher oder sexueller Gewalt werden. Und jeder Arbeitsplatz hat die Möglichkeit, etwas zu verändern.</w:t>
      </w:r>
      <w:r w:rsidDel="00000000" w:rsidR="00000000" w:rsidRPr="00000000">
        <w:rPr>
          <w:rtl w:val="0"/>
        </w:rPr>
      </w:r>
    </w:p>
    <w:p w:rsidR="00000000" w:rsidDel="00000000" w:rsidP="00000000" w:rsidRDefault="00000000" w:rsidRPr="00000000" w14:paraId="00000008">
      <w:pPr>
        <w:widowControl w:val="0"/>
        <w:spacing w:after="200" w:line="300" w:lineRule="auto"/>
        <w:rPr/>
      </w:pPr>
      <w:r w:rsidDel="00000000" w:rsidR="00000000" w:rsidRPr="00000000">
        <w:rPr>
          <w:rtl w:val="0"/>
        </w:rPr>
        <w:t xml:space="preserve">AXA Safe Spaces ist ein kostenloses Online-Training, das mit Unterstützung führender Wohltätigkeitsorganisationen und Experten sowie der NO MORE Foundation entwickelt wurde, um Unternehmen dabei zu helfen, sichere und unterstützende Arbeitsplätze für Mitarbeiter zu schaffen, die von häuslicher und sexueller Gewalt betroffen sind, indem es den Nutzern folgende Fähigkeiten vermittelt:</w:t>
      </w:r>
    </w:p>
    <w:p w:rsidR="00000000" w:rsidDel="00000000" w:rsidP="00000000" w:rsidRDefault="00000000" w:rsidRPr="00000000" w14:paraId="00000009">
      <w:pPr>
        <w:widowControl w:val="0"/>
        <w:spacing w:after="0" w:line="300" w:lineRule="auto"/>
        <w:rPr/>
      </w:pPr>
      <w:r w:rsidDel="00000000" w:rsidR="00000000" w:rsidRPr="00000000">
        <w:rPr>
          <w:rtl w:val="0"/>
        </w:rPr>
        <w:t xml:space="preserve">Erkennen der Anzeichen</w:t>
      </w:r>
    </w:p>
    <w:p w:rsidR="00000000" w:rsidDel="00000000" w:rsidP="00000000" w:rsidRDefault="00000000" w:rsidRPr="00000000" w14:paraId="0000000A">
      <w:pPr>
        <w:widowControl w:val="0"/>
        <w:spacing w:after="0" w:line="300" w:lineRule="auto"/>
        <w:rPr/>
      </w:pPr>
      <w:r w:rsidDel="00000000" w:rsidR="00000000" w:rsidRPr="00000000">
        <w:rPr>
          <w:rtl w:val="0"/>
        </w:rPr>
        <w:t xml:space="preserve">Reagieren mit Empathie</w:t>
      </w:r>
    </w:p>
    <w:p w:rsidR="00000000" w:rsidDel="00000000" w:rsidP="00000000" w:rsidRDefault="00000000" w:rsidRPr="00000000" w14:paraId="0000000B">
      <w:pPr>
        <w:widowControl w:val="0"/>
        <w:spacing w:after="200" w:line="300" w:lineRule="auto"/>
        <w:rPr/>
      </w:pPr>
      <w:r w:rsidDel="00000000" w:rsidR="00000000" w:rsidRPr="00000000">
        <w:rPr>
          <w:rtl w:val="0"/>
        </w:rPr>
        <w:t xml:space="preserve">Weiterverweisen der Betroffenen an spezialisierte Hilfsangebote</w:t>
      </w:r>
    </w:p>
    <w:p w:rsidR="00000000" w:rsidDel="00000000" w:rsidP="00000000" w:rsidRDefault="00000000" w:rsidRPr="00000000" w14:paraId="0000000C">
      <w:pPr>
        <w:widowControl w:val="0"/>
        <w:spacing w:after="200" w:line="300" w:lineRule="auto"/>
        <w:rPr/>
      </w:pPr>
      <w:r w:rsidDel="00000000" w:rsidR="00000000" w:rsidRPr="00000000">
        <w:rPr>
          <w:rtl w:val="0"/>
        </w:rPr>
        <w:t xml:space="preserve">Sie mit dem </w:t>
      </w:r>
      <w:hyperlink r:id="rId7">
        <w:r w:rsidDel="00000000" w:rsidR="00000000" w:rsidRPr="00000000">
          <w:rPr>
            <w:color w:val="1155cc"/>
            <w:u w:val="single"/>
            <w:rtl w:val="0"/>
          </w:rPr>
          <w:t xml:space="preserve">NO MORE Global Directory</w:t>
        </w:r>
      </w:hyperlink>
      <w:r w:rsidDel="00000000" w:rsidR="00000000" w:rsidRPr="00000000">
        <w:rPr>
          <w:rtl w:val="0"/>
        </w:rPr>
        <w:t xml:space="preserve"> zu verbinden, einem Verzeichnis von Hotlines und Unterstützungsdiensten in über 200 Ländern weltweit.</w:t>
      </w:r>
      <w:r w:rsidDel="00000000" w:rsidR="00000000" w:rsidRPr="00000000">
        <w:rPr>
          <w:rtl w:val="0"/>
        </w:rPr>
      </w:r>
    </w:p>
    <w:p w:rsidR="00000000" w:rsidDel="00000000" w:rsidP="00000000" w:rsidRDefault="00000000" w:rsidRPr="00000000" w14:paraId="0000000D">
      <w:pPr>
        <w:widowControl w:val="0"/>
        <w:spacing w:after="200" w:line="300" w:lineRule="auto"/>
        <w:rPr/>
      </w:pPr>
      <w:r w:rsidDel="00000000" w:rsidR="00000000" w:rsidRPr="00000000">
        <w:rPr>
          <w:rtl w:val="0"/>
        </w:rPr>
        <w:t xml:space="preserve">Entdecken Sie das Training hier: </w:t>
      </w:r>
      <w:hyperlink r:id="rId8">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0E">
      <w:pPr>
        <w:widowControl w:val="0"/>
        <w:spacing w:after="200" w:line="300" w:lineRule="auto"/>
        <w:rPr/>
      </w:pPr>
      <w:r w:rsidDel="00000000" w:rsidR="00000000" w:rsidRPr="00000000">
        <w:rPr>
          <w:rtl w:val="0"/>
        </w:rPr>
        <w:t xml:space="preserve">Machen wir jeden Arbeitsplatz zu einem sicheren Ort.</w:t>
      </w:r>
    </w:p>
    <w:p w:rsidR="00000000" w:rsidDel="00000000" w:rsidP="00000000" w:rsidRDefault="00000000" w:rsidRPr="00000000" w14:paraId="0000000F">
      <w:pPr>
        <w:widowControl w:val="0"/>
        <w:spacing w:after="200" w:line="300" w:lineRule="auto"/>
        <w:rPr/>
      </w:pPr>
      <w:r w:rsidDel="00000000" w:rsidR="00000000" w:rsidRPr="00000000">
        <w:rPr>
          <w:rtl w:val="0"/>
        </w:rPr>
        <w:t xml:space="preserve">#WeActForHumanProgress #AXASafeSpaces #NOMORE #EndViolence</w:t>
      </w:r>
    </w:p>
    <w:p w:rsidR="00000000" w:rsidDel="00000000" w:rsidP="00000000" w:rsidRDefault="00000000" w:rsidRPr="00000000" w14:paraId="00000010">
      <w:pPr>
        <w:widowControl w:val="0"/>
        <w:spacing w:after="200" w:before="0" w:line="300" w:lineRule="auto"/>
        <w:rPr>
          <w:b w:val="1"/>
        </w:rPr>
      </w:pPr>
      <w:r w:rsidDel="00000000" w:rsidR="00000000" w:rsidRPr="00000000">
        <w:rPr>
          <w:b w:val="1"/>
          <w:rtl w:val="0"/>
        </w:rPr>
        <w:t xml:space="preserve">_________________</w:t>
      </w:r>
    </w:p>
    <w:p w:rsidR="00000000" w:rsidDel="00000000" w:rsidP="00000000" w:rsidRDefault="00000000" w:rsidRPr="00000000" w14:paraId="00000011">
      <w:pPr>
        <w:widowControl w:val="0"/>
        <w:spacing w:after="200" w:before="0" w:line="300" w:lineRule="auto"/>
        <w:rPr>
          <w:b w:val="1"/>
        </w:rPr>
      </w:pPr>
      <w:r w:rsidDel="00000000" w:rsidR="00000000" w:rsidRPr="00000000">
        <w:rPr>
          <w:b w:val="1"/>
          <w:rtl w:val="0"/>
        </w:rPr>
        <w:t xml:space="preserve">Jeder kann häusliche oder sexuelle Gewalt erleben. Für viele ist der Arbeitsplatz möglicherweise der einzige sichere Ort.</w:t>
      </w:r>
    </w:p>
    <w:p w:rsidR="00000000" w:rsidDel="00000000" w:rsidP="00000000" w:rsidRDefault="00000000" w:rsidRPr="00000000" w14:paraId="00000012">
      <w:pPr>
        <w:widowControl w:val="0"/>
        <w:spacing w:after="200" w:line="300" w:lineRule="auto"/>
        <w:rPr/>
      </w:pPr>
      <w:r w:rsidDel="00000000" w:rsidR="00000000" w:rsidRPr="00000000">
        <w:rPr>
          <w:rtl w:val="0"/>
        </w:rPr>
        <w:t xml:space="preserve">Aus diesem Grund steht nun AXA Safe Spaces zur Verfügung, ein kostenloses Online-Training, das von AXA mit Unterstützung führender Wohltätigkeitsorganisationen und Experten sowie der NO MORE Foundation entwickelt wurde, um Unternehmen dabei zu helfen:</w:t>
      </w:r>
    </w:p>
    <w:p w:rsidR="00000000" w:rsidDel="00000000" w:rsidP="00000000" w:rsidRDefault="00000000" w:rsidRPr="00000000" w14:paraId="00000013">
      <w:pPr>
        <w:widowControl w:val="0"/>
        <w:spacing w:after="0" w:line="300" w:lineRule="auto"/>
        <w:rPr/>
      </w:pPr>
      <w:r w:rsidDel="00000000" w:rsidR="00000000" w:rsidRPr="00000000">
        <w:rPr>
          <w:rtl w:val="0"/>
        </w:rPr>
        <w:t xml:space="preserve">die Anzeichen zu erkennen</w:t>
      </w:r>
    </w:p>
    <w:p w:rsidR="00000000" w:rsidDel="00000000" w:rsidP="00000000" w:rsidRDefault="00000000" w:rsidRPr="00000000" w14:paraId="00000014">
      <w:pPr>
        <w:widowControl w:val="0"/>
        <w:spacing w:after="0" w:line="300" w:lineRule="auto"/>
        <w:rPr/>
      </w:pPr>
      <w:r w:rsidDel="00000000" w:rsidR="00000000" w:rsidRPr="00000000">
        <w:rPr>
          <w:rtl w:val="0"/>
        </w:rPr>
        <w:t xml:space="preserve">mit Empathie zu reagieren</w:t>
      </w:r>
    </w:p>
    <w:p w:rsidR="00000000" w:rsidDel="00000000" w:rsidP="00000000" w:rsidRDefault="00000000" w:rsidRPr="00000000" w14:paraId="00000015">
      <w:pPr>
        <w:widowControl w:val="0"/>
        <w:spacing w:after="200" w:line="300" w:lineRule="auto"/>
        <w:rPr/>
      </w:pPr>
      <w:r w:rsidDel="00000000" w:rsidR="00000000" w:rsidRPr="00000000">
        <w:rPr>
          <w:rtl w:val="0"/>
        </w:rPr>
        <w:t xml:space="preserve">die Betroffenen an spezialisierte Hilfsdienste zu verweisen</w:t>
      </w:r>
    </w:p>
    <w:p w:rsidR="00000000" w:rsidDel="00000000" w:rsidP="00000000" w:rsidRDefault="00000000" w:rsidRPr="00000000" w14:paraId="00000016">
      <w:pPr>
        <w:widowControl w:val="0"/>
        <w:spacing w:after="200" w:line="300" w:lineRule="auto"/>
        <w:rPr/>
      </w:pPr>
      <w:r w:rsidDel="00000000" w:rsidR="00000000" w:rsidRPr="00000000">
        <w:rPr>
          <w:rtl w:val="0"/>
        </w:rPr>
        <w:t xml:space="preserve">Wir verbinden Sie mit dem </w:t>
      </w:r>
      <w:hyperlink r:id="rId9">
        <w:r w:rsidDel="00000000" w:rsidR="00000000" w:rsidRPr="00000000">
          <w:rPr>
            <w:color w:val="1155cc"/>
            <w:u w:val="single"/>
            <w:rtl w:val="0"/>
          </w:rPr>
          <w:t xml:space="preserve">NO MORE Global Directory,</w:t>
        </w:r>
      </w:hyperlink>
      <w:r w:rsidDel="00000000" w:rsidR="00000000" w:rsidRPr="00000000">
        <w:rPr>
          <w:rtl w:val="0"/>
        </w:rPr>
        <w:t xml:space="preserve"> einem Verzeichnis von Hotlines und Hilfsdiensten in über 200 Ländern weltweit.</w:t>
      </w:r>
    </w:p>
    <w:p w:rsidR="00000000" w:rsidDel="00000000" w:rsidP="00000000" w:rsidRDefault="00000000" w:rsidRPr="00000000" w14:paraId="00000017">
      <w:pPr>
        <w:widowControl w:val="0"/>
        <w:spacing w:after="200" w:line="300" w:lineRule="auto"/>
        <w:rPr/>
      </w:pPr>
      <w:hyperlink r:id="rId10">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8">
      <w:pPr>
        <w:widowControl w:val="0"/>
        <w:spacing w:after="200" w:line="300" w:lineRule="auto"/>
        <w:rPr/>
      </w:pPr>
      <w:r w:rsidDel="00000000" w:rsidR="00000000" w:rsidRPr="00000000">
        <w:rPr>
          <w:rtl w:val="0"/>
        </w:rPr>
        <w:t xml:space="preserve">Machen wir jeden Arbeitsplatz zu einem sicheren Ort.</w:t>
      </w:r>
    </w:p>
    <w:p w:rsidR="00000000" w:rsidDel="00000000" w:rsidP="00000000" w:rsidRDefault="00000000" w:rsidRPr="00000000" w14:paraId="00000019">
      <w:pPr>
        <w:widowControl w:val="0"/>
        <w:spacing w:after="200" w:line="300" w:lineRule="auto"/>
        <w:rPr/>
      </w:pPr>
      <w:r w:rsidDel="00000000" w:rsidR="00000000" w:rsidRPr="00000000">
        <w:rPr>
          <w:rtl w:val="0"/>
        </w:rPr>
        <w:t xml:space="preserve">#WeActForHumanProgress #AXASafeSpaces #NOMORE #EndViolence</w:t>
      </w:r>
    </w:p>
    <w:p w:rsidR="00000000" w:rsidDel="00000000" w:rsidP="00000000" w:rsidRDefault="00000000" w:rsidRPr="00000000" w14:paraId="0000001A">
      <w:pPr>
        <w:widowControl w:val="0"/>
        <w:spacing w:after="200" w:line="300" w:lineRule="auto"/>
        <w:rPr/>
      </w:pPr>
      <w:r w:rsidDel="00000000" w:rsidR="00000000" w:rsidRPr="00000000">
        <w:rPr>
          <w:rtl w:val="0"/>
        </w:rPr>
      </w:r>
    </w:p>
    <w:p w:rsidR="00000000" w:rsidDel="00000000" w:rsidP="00000000" w:rsidRDefault="00000000" w:rsidRPr="00000000" w14:paraId="0000001B">
      <w:pPr>
        <w:widowControl w:val="0"/>
        <w:spacing w:after="0" w:before="0" w:line="300" w:lineRule="auto"/>
        <w:rPr>
          <w:b w:val="1"/>
          <w:sz w:val="32"/>
          <w:szCs w:val="32"/>
        </w:rPr>
      </w:pPr>
      <w:r w:rsidDel="00000000" w:rsidR="00000000" w:rsidRPr="00000000">
        <w:rPr>
          <w:b w:val="1"/>
          <w:sz w:val="32"/>
          <w:szCs w:val="32"/>
          <w:rtl w:val="0"/>
        </w:rPr>
        <w:t xml:space="preserve">X (276 Zeichen)</w:t>
      </w:r>
    </w:p>
    <w:p w:rsidR="00000000" w:rsidDel="00000000" w:rsidP="00000000" w:rsidRDefault="00000000" w:rsidRPr="00000000" w14:paraId="0000001C">
      <w:pPr>
        <w:widowControl w:val="0"/>
        <w:spacing w:after="0" w:before="0" w:line="300" w:lineRule="auto"/>
        <w:rPr>
          <w:b w:val="1"/>
        </w:rPr>
      </w:pPr>
      <w:r w:rsidDel="00000000" w:rsidR="00000000" w:rsidRPr="00000000">
        <w:rPr>
          <w:b w:val="1"/>
          <w:rtl w:val="0"/>
        </w:rPr>
        <w:t xml:space="preserve">Option 1:</w:t>
      </w:r>
    </w:p>
    <w:p w:rsidR="00000000" w:rsidDel="00000000" w:rsidP="00000000" w:rsidRDefault="00000000" w:rsidRPr="00000000" w14:paraId="0000001D">
      <w:pPr>
        <w:widowControl w:val="0"/>
        <w:spacing w:after="200" w:line="300" w:lineRule="auto"/>
        <w:rPr/>
      </w:pPr>
      <w:r w:rsidDel="00000000" w:rsidR="00000000" w:rsidRPr="00000000">
        <w:rPr>
          <w:rtl w:val="0"/>
        </w:rPr>
        <w:t xml:space="preserve">Jeder kann häusliche und sexuelle Gewalt erleben. Für viele ist der Arbeitsplatz möglicherweise der einzige sichere Ort. AXA Safe Spaces bietet kostenlose Schulungen an, um Unternehmen dabei zu helfen: Die Anzeichen zu erkennen. Mit Empathie zu reagieren. An Hilfsangebote zu verweisen.</w:t>
      </w:r>
    </w:p>
    <w:p w:rsidR="00000000" w:rsidDel="00000000" w:rsidP="00000000" w:rsidRDefault="00000000" w:rsidRPr="00000000" w14:paraId="0000001E">
      <w:pPr>
        <w:widowControl w:val="0"/>
        <w:spacing w:after="200" w:line="300" w:lineRule="auto"/>
        <w:rPr/>
      </w:pPr>
      <w:hyperlink r:id="rId11">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F">
      <w:pPr>
        <w:widowControl w:val="0"/>
        <w:spacing w:after="200" w:line="300" w:lineRule="auto"/>
        <w:rPr/>
      </w:pPr>
      <w:r w:rsidDel="00000000" w:rsidR="00000000" w:rsidRPr="00000000">
        <w:rPr>
          <w:rtl w:val="0"/>
        </w:rPr>
        <w:t xml:space="preserve">#AXASafeSpaces</w:t>
      </w:r>
    </w:p>
    <w:p w:rsidR="00000000" w:rsidDel="00000000" w:rsidP="00000000" w:rsidRDefault="00000000" w:rsidRPr="00000000" w14:paraId="00000020">
      <w:pPr>
        <w:widowControl w:val="0"/>
        <w:spacing w:after="0" w:before="0" w:line="300" w:lineRule="auto"/>
        <w:rPr>
          <w:b w:val="1"/>
        </w:rPr>
      </w:pPr>
      <w:r w:rsidDel="00000000" w:rsidR="00000000" w:rsidRPr="00000000">
        <w:rPr>
          <w:b w:val="1"/>
          <w:rtl w:val="0"/>
        </w:rPr>
        <w:t xml:space="preserve">Option 2: </w:t>
      </w:r>
    </w:p>
    <w:p w:rsidR="00000000" w:rsidDel="00000000" w:rsidP="00000000" w:rsidRDefault="00000000" w:rsidRPr="00000000" w14:paraId="00000021">
      <w:pPr>
        <w:widowControl w:val="0"/>
        <w:spacing w:after="200" w:line="300" w:lineRule="auto"/>
        <w:rPr/>
      </w:pPr>
      <w:r w:rsidDel="00000000" w:rsidR="00000000" w:rsidRPr="00000000">
        <w:rPr>
          <w:rtl w:val="0"/>
        </w:rPr>
        <w:t xml:space="preserve">Häusliche und sexuelle Gewalt kann jeden treffen. Jeder Arbeitsplatz kann etwas bewirken. AXA Safe Spaces bietet kostenlose Schulungen an, um Unternehmen dabei zu helfen: Die Anzeichen zu erkennen. Mit Empathie zu reagieren. Die Betroffenen an Hilfsangebote zu verweisen. </w:t>
      </w:r>
    </w:p>
    <w:p w:rsidR="00000000" w:rsidDel="00000000" w:rsidP="00000000" w:rsidRDefault="00000000" w:rsidRPr="00000000" w14:paraId="00000022">
      <w:pPr>
        <w:widowControl w:val="0"/>
        <w:spacing w:after="200" w:line="300" w:lineRule="auto"/>
        <w:rPr/>
      </w:pPr>
      <w:hyperlink r:id="rId12">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23">
      <w:pPr>
        <w:widowControl w:val="0"/>
        <w:spacing w:after="200" w:line="300" w:lineRule="auto"/>
        <w:rPr/>
      </w:pPr>
      <w:r w:rsidDel="00000000" w:rsidR="00000000" w:rsidRPr="00000000">
        <w:rPr>
          <w:rtl w:val="0"/>
        </w:rPr>
        <w:t xml:space="preserve">#AXASafeSpaces</w:t>
      </w:r>
    </w:p>
    <w:p w:rsidR="00000000" w:rsidDel="00000000" w:rsidP="00000000" w:rsidRDefault="00000000" w:rsidRPr="00000000" w14:paraId="00000024">
      <w:pPr>
        <w:widowControl w:val="0"/>
        <w:spacing w:after="200" w:line="300" w:lineRule="auto"/>
        <w:rPr/>
      </w:pPr>
      <w:r w:rsidDel="00000000" w:rsidR="00000000" w:rsidRPr="00000000">
        <w:rPr>
          <w:rtl w:val="0"/>
        </w:rPr>
      </w:r>
    </w:p>
    <w:p w:rsidR="00000000" w:rsidDel="00000000" w:rsidP="00000000" w:rsidRDefault="00000000" w:rsidRPr="00000000" w14:paraId="00000025">
      <w:pPr>
        <w:widowControl w:val="0"/>
        <w:spacing w:after="0" w:before="0" w:line="300" w:lineRule="auto"/>
        <w:rPr>
          <w:sz w:val="32"/>
          <w:szCs w:val="32"/>
        </w:rPr>
      </w:pPr>
      <w:r w:rsidDel="00000000" w:rsidR="00000000" w:rsidRPr="00000000">
        <w:rPr>
          <w:b w:val="1"/>
          <w:sz w:val="32"/>
          <w:szCs w:val="32"/>
          <w:rtl w:val="0"/>
        </w:rPr>
        <w:t xml:space="preserve">Zitate aus dem Bereich Personalwesen oder Führung</w:t>
      </w:r>
      <w:r w:rsidDel="00000000" w:rsidR="00000000" w:rsidRPr="00000000">
        <w:rPr>
          <w:rtl w:val="0"/>
        </w:rPr>
      </w:r>
    </w:p>
    <w:p w:rsidR="00000000" w:rsidDel="00000000" w:rsidP="00000000" w:rsidRDefault="00000000" w:rsidRPr="00000000" w14:paraId="00000026">
      <w:pPr>
        <w:widowControl w:val="0"/>
        <w:spacing w:after="200" w:line="300" w:lineRule="auto"/>
        <w:rPr/>
      </w:pPr>
      <w:r w:rsidDel="00000000" w:rsidR="00000000" w:rsidRPr="00000000">
        <w:rPr>
          <w:rtl w:val="0"/>
        </w:rPr>
        <w:t xml:space="preserve">„Wir sind stolz darauf, das Safe Spaces-Training von AXA zu unterstützen – ein wichtiger Schritt zur Schaffung sicherer und unterstützenderer Arbeitsplätze für Menschen, die von häuslicher und sexueller Gewalt betroffen sind.“</w:t>
      </w:r>
    </w:p>
    <w:p w:rsidR="00000000" w:rsidDel="00000000" w:rsidP="00000000" w:rsidRDefault="00000000" w:rsidRPr="00000000" w14:paraId="00000027">
      <w:pPr>
        <w:widowControl w:val="0"/>
        <w:spacing w:after="200" w:line="300" w:lineRule="auto"/>
        <w:rPr/>
      </w:pPr>
      <w:r w:rsidDel="00000000" w:rsidR="00000000" w:rsidRPr="00000000">
        <w:rPr>
          <w:rtl w:val="0"/>
        </w:rPr>
        <w:t xml:space="preserve">„AXA Safe Spaces ist eine unverzichtbare Schulung für jede Organisation, die Menschen unterstützen möchte, die von häuslicher und sexueller Gewalt betroffen sind.“</w:t>
      </w:r>
    </w:p>
    <w:p w:rsidR="00000000" w:rsidDel="00000000" w:rsidP="00000000" w:rsidRDefault="00000000" w:rsidRPr="00000000" w14:paraId="00000028">
      <w:pPr>
        <w:widowControl w:val="0"/>
        <w:spacing w:after="200" w:line="300" w:lineRule="auto"/>
        <w:rPr/>
      </w:pPr>
      <w:r w:rsidDel="00000000" w:rsidR="00000000" w:rsidRPr="00000000">
        <w:rPr>
          <w:rtl w:val="0"/>
        </w:rPr>
        <w:t xml:space="preserve">„AXA Safe Spaces gibt jeder Organisation die Werkzeuge an die Hand, um solche Fälle zu erkennen, darauf zu reagieren und an spezialisierte Dienste weiterzuleiten. Gemeinsam können wir Opfer und Überlebende unterstützen.“</w:t>
      </w:r>
    </w:p>
    <w:p w:rsidR="00000000" w:rsidDel="00000000" w:rsidP="00000000" w:rsidRDefault="00000000" w:rsidRPr="00000000" w14:paraId="00000029">
      <w:pPr>
        <w:widowControl w:val="0"/>
        <w:spacing w:after="200" w:line="300" w:lineRule="auto"/>
        <w:rPr/>
      </w:pPr>
      <w:r w:rsidDel="00000000" w:rsidR="00000000" w:rsidRPr="00000000">
        <w:rPr>
          <w:rtl w:val="0"/>
        </w:rPr>
        <w:t xml:space="preserve">„Da jeder von häuslicher und sexueller Gewalt betroffen sein kann, setzen wir uns dafür ein, unseren Arbeitsplatz zu einem sicheren und unterstützenden Ort zu machen – das AXA Safe Spaces-Training hilft uns dabei.“</w:t>
      </w:r>
    </w:p>
    <w:p w:rsidR="00000000" w:rsidDel="00000000" w:rsidP="00000000" w:rsidRDefault="00000000" w:rsidRPr="00000000" w14:paraId="0000002A">
      <w:pPr>
        <w:widowControl w:val="0"/>
        <w:spacing w:after="200" w:line="300" w:lineRule="auto"/>
        <w:rPr/>
      </w:pPr>
      <w:r w:rsidDel="00000000" w:rsidR="00000000" w:rsidRPr="00000000">
        <w:rPr>
          <w:rtl w:val="0"/>
        </w:rPr>
        <w:t xml:space="preserve">„Wir sind stolz darauf, AXA Safe Spaces mit Kollegen auf der ganzen Welt zu teilen und Menschen, die von häuslicher und sexueller Gewalt betroffen sind, dabei zu helfen, die Unterstützung zu erhalten, die sie brauchen.“</w:t>
      </w:r>
    </w:p>
    <w:p w:rsidR="00000000" w:rsidDel="00000000" w:rsidP="00000000" w:rsidRDefault="00000000" w:rsidRPr="00000000" w14:paraId="0000002B">
      <w:pPr>
        <w:widowControl w:val="0"/>
        <w:spacing w:after="200" w:line="300" w:lineRule="auto"/>
        <w:rPr/>
      </w:pPr>
      <w:r w:rsidDel="00000000" w:rsidR="00000000" w:rsidRPr="00000000">
        <w:rPr>
          <w:rtl w:val="0"/>
        </w:rPr>
        <w:t xml:space="preserve">„Jeder kann häusliche und sexuelle Gewalt erleben. Deshalb ist das AXA Safe Spaces-Training so wichtig, um die Anzeichen zu erkennen, mit Empathie zu reagieren und die Betroffenen an spezialisierte Hilfsdienste zu verweisen.“</w:t>
      </w:r>
    </w:p>
    <w:p w:rsidR="00000000" w:rsidDel="00000000" w:rsidP="00000000" w:rsidRDefault="00000000" w:rsidRPr="00000000" w14:paraId="0000002C">
      <w:pPr>
        <w:widowControl w:val="0"/>
        <w:spacing w:after="200" w:line="300" w:lineRule="auto"/>
        <w:rPr/>
      </w:pPr>
      <w:r w:rsidDel="00000000" w:rsidR="00000000" w:rsidRPr="00000000">
        <w:rPr>
          <w:rtl w:val="0"/>
        </w:rPr>
        <w:t xml:space="preserve">„Jeder kann häusliche und sexuelle Gewalt erleben. Jeder Arbeitsplatz hat die Möglichkeit, etwas zu bewegen. Lassen Sie uns gemeinsam jeden Arbeitsplatz zu einem sicheren Ort für Betroffene machen. #AXASafeSpaces“</w:t>
      </w:r>
    </w:p>
    <w:sectPr>
      <w:footerReference r:id="rId13" w:type="default"/>
      <w:footerReference r:id="rId14" w:type="first"/>
      <w:footerReference r:id="rId15"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6" name=""/>
              <a:graphic>
                <a:graphicData uri="http://schemas.microsoft.com/office/word/2010/wordprocessingShape">
                  <wps:wsp>
                    <wps:cNvSpPr/>
                    <wps:cNvPr id="3" name="Shape 3"/>
                    <wps:spPr>
                      <a:xfrm>
                        <a:off x="4888800" y="3613313"/>
                        <a:ext cx="914400"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GIE_AXA_Internal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6" name="image2.png"/>
              <a:graphic>
                <a:graphicData uri="http://schemas.openxmlformats.org/drawingml/2006/picture">
                  <pic:pic>
                    <pic:nvPicPr>
                      <pic:cNvPr descr="GIE_AXA_Internal" id="0" name="image2.png"/>
                      <pic:cNvPicPr preferRelativeResize="0"/>
                    </pic:nvPicPr>
                    <pic:blipFill>
                      <a:blip r:embed="rId1"/>
                      <a:srcRect/>
                      <a:stretch>
                        <a:fillRect/>
                      </a:stretch>
                    </pic:blipFill>
                    <pic:spPr>
                      <a:xfrm>
                        <a:off x="0" y="0"/>
                        <a:ext cx="942975" cy="36195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5" name=""/>
              <a:graphic>
                <a:graphicData uri="http://schemas.microsoft.com/office/word/2010/wordprocessingShape">
                  <wps:wsp>
                    <wps:cNvSpPr/>
                    <wps:cNvPr id="2" name="Shape 2"/>
                    <wps:spPr>
                      <a:xfrm>
                        <a:off x="4888800" y="3613313"/>
                        <a:ext cx="914400"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GIE_AXA_Internal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5" name="image1.png"/>
              <a:graphic>
                <a:graphicData uri="http://schemas.openxmlformats.org/drawingml/2006/picture">
                  <pic:pic>
                    <pic:nvPicPr>
                      <pic:cNvPr descr="GIE_AXA_Internal" id="0" name="image1.png"/>
                      <pic:cNvPicPr preferRelativeResize="0"/>
                    </pic:nvPicPr>
                    <pic:blipFill>
                      <a:blip r:embed="rId1"/>
                      <a:srcRect/>
                      <a:stretch>
                        <a:fillRect/>
                      </a:stretch>
                    </pic:blipFill>
                    <pic:spPr>
                      <a:xfrm>
                        <a:off x="0" y="0"/>
                        <a:ext cx="942975" cy="3619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720"/>
    </w:pPr>
    <w:rPr>
      <w:color w:val="008000"/>
      <w:sz w:val="36"/>
      <w:szCs w:val="36"/>
    </w:rPr>
  </w:style>
  <w:style w:type="paragraph" w:styleId="Heading2">
    <w:name w:val="heading 2"/>
    <w:basedOn w:val="Normal"/>
    <w:next w:val="Normal"/>
    <w:pPr>
      <w:keepNext w:val="1"/>
      <w:keepLines w:val="1"/>
      <w:spacing w:before="120" w:lineRule="auto"/>
    </w:pPr>
    <w:rPr>
      <w:rFonts w:ascii="Trebuchet MS" w:cs="Trebuchet MS" w:eastAsia="Trebuchet MS" w:hAnsi="Trebuchet MS"/>
      <w:b w:val="1"/>
      <w:sz w:val="18"/>
      <w:szCs w:val="18"/>
    </w:rPr>
  </w:style>
  <w:style w:type="paragraph" w:styleId="Heading3">
    <w:name w:val="heading 3"/>
    <w:basedOn w:val="Normal"/>
    <w:next w:val="Normal"/>
    <w:pPr>
      <w:keepNext w:val="1"/>
      <w:keepLines w:val="1"/>
      <w:ind w:left="720" w:hanging="360"/>
    </w:pPr>
    <w:rPr>
      <w:rFonts w:ascii="Trebuchet MS" w:cs="Trebuchet MS" w:eastAsia="Trebuchet MS" w:hAnsi="Trebuchet MS"/>
      <w:sz w:val="18"/>
      <w:szCs w:val="18"/>
    </w:rPr>
  </w:style>
  <w:style w:type="paragraph" w:styleId="Heading4">
    <w:name w:val="heading 4"/>
    <w:basedOn w:val="Normal"/>
    <w:next w:val="Normal"/>
    <w:pPr>
      <w:keepNext w:val="1"/>
      <w:keepLines w:val="1"/>
      <w:spacing w:after="60" w:before="240" w:lineRule="auto"/>
    </w:pPr>
    <w:rPr>
      <w:rFonts w:ascii="Trebuchet MS" w:cs="Trebuchet MS" w:eastAsia="Trebuchet MS" w:hAnsi="Trebuchet MS"/>
      <w:b w:val="1"/>
      <w:color w:val="99cc00"/>
      <w:sz w:val="18"/>
      <w:szCs w:val="18"/>
      <w:u w:val="single"/>
    </w:rPr>
  </w:style>
  <w:style w:type="paragraph" w:styleId="Heading5">
    <w:name w:val="heading 5"/>
    <w:basedOn w:val="Normal"/>
    <w:next w:val="Normal"/>
    <w:pPr>
      <w:keepNext w:val="1"/>
      <w:keepLines w:val="1"/>
      <w:jc w:val="center"/>
    </w:pPr>
    <w:rPr>
      <w:rFonts w:ascii="Trebuchet MS" w:cs="Trebuchet MS" w:eastAsia="Trebuchet MS" w:hAnsi="Trebuchet MS"/>
      <w:sz w:val="18"/>
      <w:szCs w:val="1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afespaces-againstviolence.axa.com" TargetMode="External"/><Relationship Id="rId10" Type="http://schemas.openxmlformats.org/officeDocument/2006/relationships/hyperlink" Target="http://safespaces-againstviolence.axa.com" TargetMode="External"/><Relationship Id="rId13" Type="http://schemas.openxmlformats.org/officeDocument/2006/relationships/footer" Target="footer1.xml"/><Relationship Id="rId12" Type="http://schemas.openxmlformats.org/officeDocument/2006/relationships/hyperlink" Target="http://safespaces-againstviolence.ax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moredirectory.org/"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moredirectory.org/" TargetMode="External"/><Relationship Id="rId8" Type="http://schemas.openxmlformats.org/officeDocument/2006/relationships/hyperlink" Target="http://safespaces-againstviolence.ax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eUe0UBSmwURlX8R+h+dcrqHCvg==">CgMxLjA4AHIhMXBpZFNiYmVvYTh1S3JucldIMTJqWjRMMVlWVWFTY2VC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0x010100D0DC47FE38099D48B01298BAD13A3418</vt:lpwstr>
  </property>
  <property fmtid="{D5CDD505-2E9C-101B-9397-08002B2CF9AE}" pid="3" name="ClassificationContentMarkingFooterShapeIds">
    <vt:lpwstr>259c2e11,b1b3182,235012df</vt:lpwstr>
  </property>
  <property fmtid="{D5CDD505-2E9C-101B-9397-08002B2CF9AE}" pid="4" name="ClassificationContentMarkingFooterFontProps">
    <vt:lpwstr>#000000,10,Calibri</vt:lpwstr>
  </property>
  <property fmtid="{D5CDD505-2E9C-101B-9397-08002B2CF9AE}" pid="5" name="ClassificationContentMarkingFooterText">
    <vt:lpwstr>GIE_AXA_Internal</vt:lpwstr>
  </property>
  <property fmtid="{D5CDD505-2E9C-101B-9397-08002B2CF9AE}" pid="6" name="MSIP_Label_724780b5-9b6f-48c0-bacb-de7ed96313a2_Enabled">
    <vt:lpwstr>true</vt:lpwstr>
  </property>
  <property fmtid="{D5CDD505-2E9C-101B-9397-08002B2CF9AE}" pid="7" name="MSIP_Label_724780b5-9b6f-48c0-bacb-de7ed96313a2_SetDate">
    <vt:lpwstr>2025-07-08T12:18:53Z</vt:lpwstr>
  </property>
  <property fmtid="{D5CDD505-2E9C-101B-9397-08002B2CF9AE}" pid="8" name="MSIP_Label_724780b5-9b6f-48c0-bacb-de7ed96313a2_Method">
    <vt:lpwstr>Standard</vt:lpwstr>
  </property>
  <property fmtid="{D5CDD505-2E9C-101B-9397-08002B2CF9AE}" pid="9" name="MSIP_Label_724780b5-9b6f-48c0-bacb-de7ed96313a2_Name">
    <vt:lpwstr>GIE_AXA_Internal</vt:lpwstr>
  </property>
  <property fmtid="{D5CDD505-2E9C-101B-9397-08002B2CF9AE}" pid="10" name="MSIP_Label_724780b5-9b6f-48c0-bacb-de7ed96313a2_SiteId">
    <vt:lpwstr>396b38cc-aa65-492b-bb0e-3d94ed25a97b</vt:lpwstr>
  </property>
  <property fmtid="{D5CDD505-2E9C-101B-9397-08002B2CF9AE}" pid="11" name="MSIP_Label_724780b5-9b6f-48c0-bacb-de7ed96313a2_ActionId">
    <vt:lpwstr>6d985c8a-63c9-42ce-9c5a-05ebc83954af</vt:lpwstr>
  </property>
  <property fmtid="{D5CDD505-2E9C-101B-9397-08002B2CF9AE}" pid="12" name="MSIP_Label_724780b5-9b6f-48c0-bacb-de7ed96313a2_ContentBits">
    <vt:lpwstr>2</vt:lpwstr>
  </property>
  <property fmtid="{D5CDD505-2E9C-101B-9397-08002B2CF9AE}" pid="13" name="MSIP_Label_724780b5-9b6f-48c0-bacb-de7ed96313a2_Tag">
    <vt:lpwstr>10, 3, 0, 2</vt:lpwstr>
  </property>
</Properties>
</file>