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0" w:line="300" w:lineRule="auto"/>
        <w:rPr>
          <w:b w:val="1"/>
          <w:sz w:val="20"/>
          <w:szCs w:val="20"/>
        </w:rPr>
      </w:pPr>
      <w:r w:rsidDel="00000000" w:rsidR="00000000" w:rsidRPr="00000000">
        <w:rPr>
          <w:b w:val="1"/>
          <w:sz w:val="42"/>
          <w:szCs w:val="42"/>
          <w:rtl w:val="0"/>
        </w:rPr>
        <w:t xml:space="preserve">External Communications Assets</w:t>
      </w:r>
      <w:r w:rsidDel="00000000" w:rsidR="00000000" w:rsidRPr="00000000">
        <w:rPr>
          <w:rtl w:val="0"/>
        </w:rPr>
      </w:r>
    </w:p>
    <w:p w:rsidR="00000000" w:rsidDel="00000000" w:rsidP="00000000" w:rsidRDefault="00000000" w:rsidRPr="00000000" w14:paraId="00000002">
      <w:pPr>
        <w:widowControl w:val="0"/>
        <w:spacing w:after="0" w:before="0" w:line="300" w:lineRule="auto"/>
        <w:rPr>
          <w:b w:val="1"/>
          <w:sz w:val="32"/>
          <w:szCs w:val="32"/>
        </w:rPr>
      </w:pPr>
      <w:r w:rsidDel="00000000" w:rsidR="00000000" w:rsidRPr="00000000">
        <w:rPr>
          <w:b w:val="1"/>
          <w:sz w:val="32"/>
          <w:szCs w:val="32"/>
          <w:rtl w:val="0"/>
        </w:rPr>
        <w:t xml:space="preserve">Publications pour les réseaux sociaux :</w:t>
      </w:r>
    </w:p>
    <w:p w:rsidR="00000000" w:rsidDel="00000000" w:rsidP="00000000" w:rsidRDefault="00000000" w:rsidRPr="00000000" w14:paraId="00000003">
      <w:pPr>
        <w:widowControl w:val="0"/>
        <w:spacing w:after="0" w:line="300" w:lineRule="auto"/>
        <w:rPr>
          <w:i w:val="1"/>
        </w:rPr>
      </w:pPr>
      <w:r w:rsidDel="00000000" w:rsidR="00000000" w:rsidRPr="00000000">
        <w:rPr>
          <w:i w:val="1"/>
          <w:rtl w:val="0"/>
        </w:rPr>
        <w:t xml:space="preserve">LinkedIn (limite stricte : 3 000 caractères par publication (500 à 600 mots))</w:t>
      </w:r>
    </w:p>
    <w:p w:rsidR="00000000" w:rsidDel="00000000" w:rsidP="00000000" w:rsidRDefault="00000000" w:rsidRPr="00000000" w14:paraId="00000004">
      <w:pPr>
        <w:widowControl w:val="0"/>
        <w:spacing w:after="0" w:line="300" w:lineRule="auto"/>
        <w:rPr>
          <w:i w:val="1"/>
        </w:rPr>
      </w:pPr>
      <w:r w:rsidDel="00000000" w:rsidR="00000000" w:rsidRPr="00000000">
        <w:rPr>
          <w:i w:val="1"/>
          <w:rtl w:val="0"/>
        </w:rPr>
        <w:t xml:space="preserve">Instagram (limite stricte : 2 200 caractères par légende (350 à 400 mots))</w:t>
      </w:r>
    </w:p>
    <w:p w:rsidR="00000000" w:rsidDel="00000000" w:rsidP="00000000" w:rsidRDefault="00000000" w:rsidRPr="00000000" w14:paraId="00000005">
      <w:pPr>
        <w:widowControl w:val="0"/>
        <w:spacing w:after="200" w:line="300" w:lineRule="auto"/>
        <w:rPr>
          <w:i w:val="1"/>
        </w:rPr>
      </w:pPr>
      <w:r w:rsidDel="00000000" w:rsidR="00000000" w:rsidRPr="00000000">
        <w:rPr>
          <w:i w:val="1"/>
          <w:rtl w:val="0"/>
        </w:rPr>
        <w:t xml:space="preserve">X (limite stricte : 280 caractères)</w:t>
      </w:r>
    </w:p>
    <w:p w:rsidR="00000000" w:rsidDel="00000000" w:rsidP="00000000" w:rsidRDefault="00000000" w:rsidRPr="00000000" w14:paraId="00000006">
      <w:pPr>
        <w:widowControl w:val="0"/>
        <w:spacing w:after="200" w:before="0" w:line="300" w:lineRule="auto"/>
        <w:rPr/>
      </w:pPr>
      <w:r w:rsidDel="00000000" w:rsidR="00000000" w:rsidRPr="00000000">
        <w:rPr>
          <w:b w:val="1"/>
          <w:rtl w:val="0"/>
        </w:rPr>
        <w:t xml:space="preserve">Tout le monde peut être victime de violences domestiques ou sexuelles. Et chaque lieu de travail a le pouvoir de faire la différence.</w:t>
      </w:r>
      <w:r w:rsidDel="00000000" w:rsidR="00000000" w:rsidRPr="00000000">
        <w:rPr>
          <w:rtl w:val="0"/>
        </w:rPr>
      </w:r>
    </w:p>
    <w:p w:rsidR="00000000" w:rsidDel="00000000" w:rsidP="00000000" w:rsidRDefault="00000000" w:rsidRPr="00000000" w14:paraId="00000007">
      <w:pPr>
        <w:widowControl w:val="0"/>
        <w:spacing w:after="200" w:line="300" w:lineRule="auto"/>
        <w:rPr/>
      </w:pPr>
      <w:r w:rsidDel="00000000" w:rsidR="00000000" w:rsidRPr="00000000">
        <w:rPr>
          <w:rtl w:val="0"/>
        </w:rPr>
        <w:t xml:space="preserve">AXA Safe Spaces est une formation en ligne gratuite développée avec le soutien d’associations et d’experts de référence, en partenariat avec la Fondation NO MORE, afin d’aider les organisations à créer des lieux de travail sûrs et bienveillants pour les collaborateurs victimes de violences domestiques et sexuelles. Elle donne aux utilisateurs les moyens de :</w:t>
      </w:r>
    </w:p>
    <w:p w:rsidR="00000000" w:rsidDel="00000000" w:rsidP="00000000" w:rsidRDefault="00000000" w:rsidRPr="00000000" w14:paraId="00000008">
      <w:pPr>
        <w:widowControl w:val="0"/>
        <w:spacing w:after="0" w:line="300" w:lineRule="auto"/>
        <w:rPr/>
      </w:pPr>
      <w:r w:rsidDel="00000000" w:rsidR="00000000" w:rsidRPr="00000000">
        <w:rPr>
          <w:rtl w:val="0"/>
        </w:rPr>
        <w:t xml:space="preserve">Reconnaître les signes de violences</w:t>
      </w:r>
    </w:p>
    <w:p w:rsidR="00000000" w:rsidDel="00000000" w:rsidP="00000000" w:rsidRDefault="00000000" w:rsidRPr="00000000" w14:paraId="00000009">
      <w:pPr>
        <w:widowControl w:val="0"/>
        <w:spacing w:after="0" w:line="300" w:lineRule="auto"/>
        <w:rPr/>
      </w:pPr>
      <w:r w:rsidDel="00000000" w:rsidR="00000000" w:rsidRPr="00000000">
        <w:rPr>
          <w:rtl w:val="0"/>
        </w:rPr>
        <w:t xml:space="preserve">Réagir avec empathie</w:t>
      </w:r>
    </w:p>
    <w:p w:rsidR="00000000" w:rsidDel="00000000" w:rsidP="00000000" w:rsidRDefault="00000000" w:rsidRPr="00000000" w14:paraId="0000000A">
      <w:pPr>
        <w:widowControl w:val="0"/>
        <w:spacing w:after="200" w:line="300" w:lineRule="auto"/>
        <w:rPr/>
      </w:pPr>
      <w:r w:rsidDel="00000000" w:rsidR="00000000" w:rsidRPr="00000000">
        <w:rPr>
          <w:rtl w:val="0"/>
        </w:rPr>
        <w:t xml:space="preserve">Orienter les personnes touchées vers un soutien spécialisé</w:t>
      </w:r>
    </w:p>
    <w:p w:rsidR="00000000" w:rsidDel="00000000" w:rsidP="00000000" w:rsidRDefault="00000000" w:rsidRPr="00000000" w14:paraId="0000000B">
      <w:pPr>
        <w:widowControl w:val="0"/>
        <w:spacing w:after="200" w:line="300" w:lineRule="auto"/>
        <w:rPr/>
      </w:pPr>
      <w:r w:rsidDel="00000000" w:rsidR="00000000" w:rsidRPr="00000000">
        <w:rPr>
          <w:rtl w:val="0"/>
        </w:rPr>
        <w:t xml:space="preserve">Avoir accès au </w:t>
      </w:r>
      <w:hyperlink r:id="rId7">
        <w:r w:rsidDel="00000000" w:rsidR="00000000" w:rsidRPr="00000000">
          <w:rPr>
            <w:color w:val="1155cc"/>
            <w:u w:val="single"/>
            <w:rtl w:val="0"/>
          </w:rPr>
          <w:t xml:space="preserve">répertoire mondial NO MORE</w:t>
        </w:r>
      </w:hyperlink>
      <w:r w:rsidDel="00000000" w:rsidR="00000000" w:rsidRPr="00000000">
        <w:rPr>
          <w:rtl w:val="0"/>
        </w:rPr>
        <w:t xml:space="preserve"> qui recense des lignes d’écoute et des services de soutien dans plus de 200 pays à travers le monde.</w:t>
      </w:r>
    </w:p>
    <w:p w:rsidR="00000000" w:rsidDel="00000000" w:rsidP="00000000" w:rsidRDefault="00000000" w:rsidRPr="00000000" w14:paraId="0000000C">
      <w:pPr>
        <w:widowControl w:val="0"/>
        <w:spacing w:after="200" w:line="300" w:lineRule="auto"/>
        <w:rPr/>
      </w:pPr>
      <w:r w:rsidDel="00000000" w:rsidR="00000000" w:rsidRPr="00000000">
        <w:rPr>
          <w:rtl w:val="0"/>
        </w:rPr>
        <w:t xml:space="preserve">Découvrez la formation ici : </w:t>
      </w:r>
      <w:hyperlink r:id="rId8">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0D">
      <w:pPr>
        <w:widowControl w:val="0"/>
        <w:spacing w:after="200" w:line="300" w:lineRule="auto"/>
        <w:rPr/>
      </w:pPr>
      <w:r w:rsidDel="00000000" w:rsidR="00000000" w:rsidRPr="00000000">
        <w:rPr>
          <w:rtl w:val="0"/>
        </w:rPr>
        <w:t xml:space="preserve">Faisons de chaque lieu de travail un espace sûr.</w:t>
      </w:r>
    </w:p>
    <w:p w:rsidR="00000000" w:rsidDel="00000000" w:rsidP="00000000" w:rsidRDefault="00000000" w:rsidRPr="00000000" w14:paraId="0000000E">
      <w:pPr>
        <w:widowControl w:val="0"/>
        <w:spacing w:after="200" w:line="300" w:lineRule="auto"/>
        <w:rPr/>
      </w:pPr>
      <w:r w:rsidDel="00000000" w:rsidR="00000000" w:rsidRPr="00000000">
        <w:rPr>
          <w:rtl w:val="0"/>
        </w:rPr>
        <w:t xml:space="preserve">#WeActForHumanProgress #AXASafeSpaces #NOMORE #EndViolence</w:t>
      </w:r>
      <w:r w:rsidDel="00000000" w:rsidR="00000000" w:rsidRPr="00000000">
        <w:rPr>
          <w:rtl w:val="0"/>
        </w:rPr>
      </w:r>
    </w:p>
    <w:p w:rsidR="00000000" w:rsidDel="00000000" w:rsidP="00000000" w:rsidRDefault="00000000" w:rsidRPr="00000000" w14:paraId="0000000F">
      <w:pPr>
        <w:widowControl w:val="0"/>
        <w:spacing w:after="200" w:before="0" w:line="300" w:lineRule="auto"/>
        <w:rPr>
          <w:b w:val="1"/>
        </w:rPr>
      </w:pPr>
      <w:r w:rsidDel="00000000" w:rsidR="00000000" w:rsidRPr="00000000">
        <w:rPr>
          <w:b w:val="1"/>
          <w:rtl w:val="0"/>
        </w:rPr>
        <w:t xml:space="preserve">_________________</w:t>
      </w:r>
    </w:p>
    <w:p w:rsidR="00000000" w:rsidDel="00000000" w:rsidP="00000000" w:rsidRDefault="00000000" w:rsidRPr="00000000" w14:paraId="00000010">
      <w:pPr>
        <w:widowControl w:val="0"/>
        <w:spacing w:after="200" w:before="0" w:line="300" w:lineRule="auto"/>
        <w:rPr>
          <w:b w:val="1"/>
        </w:rPr>
      </w:pPr>
      <w:r w:rsidDel="00000000" w:rsidR="00000000" w:rsidRPr="00000000">
        <w:rPr>
          <w:b w:val="1"/>
          <w:rtl w:val="0"/>
        </w:rPr>
        <w:t xml:space="preserve">Tout le monde peut être victime de violence domestique ou sexuelle. Pour beaucoup, le lieu de travail peut être le seul espace sûr. </w:t>
      </w:r>
    </w:p>
    <w:p w:rsidR="00000000" w:rsidDel="00000000" w:rsidP="00000000" w:rsidRDefault="00000000" w:rsidRPr="00000000" w14:paraId="00000011">
      <w:pPr>
        <w:widowControl w:val="0"/>
        <w:spacing w:after="200" w:line="300" w:lineRule="auto"/>
        <w:rPr/>
      </w:pPr>
      <w:r w:rsidDel="00000000" w:rsidR="00000000" w:rsidRPr="00000000">
        <w:rPr>
          <w:rtl w:val="0"/>
        </w:rPr>
        <w:t xml:space="preserve">C'est pourquoi AXA Safe Spaces, une formation en ligne gratuite développée par AXA avec le soutien d’associations et d’experts de référence, en partenariat avec la Fondation NO MORE, est désormais disponible pour aider les organisations à :</w:t>
      </w:r>
    </w:p>
    <w:p w:rsidR="00000000" w:rsidDel="00000000" w:rsidP="00000000" w:rsidRDefault="00000000" w:rsidRPr="00000000" w14:paraId="00000012">
      <w:pPr>
        <w:widowControl w:val="0"/>
        <w:spacing w:after="0" w:line="300" w:lineRule="auto"/>
        <w:rPr/>
      </w:pPr>
      <w:r w:rsidDel="00000000" w:rsidR="00000000" w:rsidRPr="00000000">
        <w:rPr>
          <w:rtl w:val="0"/>
        </w:rPr>
        <w:t xml:space="preserve">Reconnaître les signes de violences</w:t>
      </w:r>
    </w:p>
    <w:p w:rsidR="00000000" w:rsidDel="00000000" w:rsidP="00000000" w:rsidRDefault="00000000" w:rsidRPr="00000000" w14:paraId="00000013">
      <w:pPr>
        <w:widowControl w:val="0"/>
        <w:spacing w:after="0" w:line="300" w:lineRule="auto"/>
        <w:rPr/>
      </w:pPr>
      <w:r w:rsidDel="00000000" w:rsidR="00000000" w:rsidRPr="00000000">
        <w:rPr>
          <w:rtl w:val="0"/>
        </w:rPr>
        <w:t xml:space="preserve">Réagir avec empathie</w:t>
      </w:r>
    </w:p>
    <w:p w:rsidR="00000000" w:rsidDel="00000000" w:rsidP="00000000" w:rsidRDefault="00000000" w:rsidRPr="00000000" w14:paraId="00000014">
      <w:pPr>
        <w:widowControl w:val="0"/>
        <w:spacing w:after="200" w:line="300" w:lineRule="auto"/>
        <w:rPr/>
      </w:pPr>
      <w:r w:rsidDel="00000000" w:rsidR="00000000" w:rsidRPr="00000000">
        <w:rPr>
          <w:rtl w:val="0"/>
        </w:rPr>
        <w:t xml:space="preserve">Orienter les personnes touchées vers un soutien spécialisé</w:t>
      </w:r>
    </w:p>
    <w:p w:rsidR="00000000" w:rsidDel="00000000" w:rsidP="00000000" w:rsidRDefault="00000000" w:rsidRPr="00000000" w14:paraId="00000015">
      <w:pPr>
        <w:widowControl w:val="0"/>
        <w:spacing w:after="200" w:line="300" w:lineRule="auto"/>
        <w:rPr/>
      </w:pPr>
      <w:r w:rsidDel="00000000" w:rsidR="00000000" w:rsidRPr="00000000">
        <w:rPr>
          <w:rtl w:val="0"/>
        </w:rPr>
        <w:t xml:space="preserve">Vous mettre en relation avec le </w:t>
      </w:r>
      <w:hyperlink r:id="rId9">
        <w:r w:rsidDel="00000000" w:rsidR="00000000" w:rsidRPr="00000000">
          <w:rPr>
            <w:color w:val="1155cc"/>
            <w:u w:val="single"/>
            <w:rtl w:val="0"/>
          </w:rPr>
          <w:t xml:space="preserve">répertoire mondial NO MORE</w:t>
        </w:r>
      </w:hyperlink>
      <w:r w:rsidDel="00000000" w:rsidR="00000000" w:rsidRPr="00000000">
        <w:rPr>
          <w:rtl w:val="0"/>
        </w:rPr>
        <w:t xml:space="preserve"> qui recense des lignes d’écoute et des services de soutien dans plus de 200 pays à travers le monde.</w:t>
      </w:r>
    </w:p>
    <w:p w:rsidR="00000000" w:rsidDel="00000000" w:rsidP="00000000" w:rsidRDefault="00000000" w:rsidRPr="00000000" w14:paraId="00000016">
      <w:pPr>
        <w:widowControl w:val="0"/>
        <w:spacing w:after="200" w:line="300" w:lineRule="auto"/>
        <w:rPr/>
      </w:pPr>
      <w:hyperlink r:id="rId10">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17">
      <w:pPr>
        <w:widowControl w:val="0"/>
        <w:spacing w:after="200" w:line="300" w:lineRule="auto"/>
        <w:rPr/>
      </w:pPr>
      <w:r w:rsidDel="00000000" w:rsidR="00000000" w:rsidRPr="00000000">
        <w:rPr>
          <w:rtl w:val="0"/>
        </w:rPr>
        <w:t xml:space="preserve">Faisons de chaque lieu de travail un espace sûr.</w:t>
      </w:r>
    </w:p>
    <w:p w:rsidR="00000000" w:rsidDel="00000000" w:rsidP="00000000" w:rsidRDefault="00000000" w:rsidRPr="00000000" w14:paraId="00000018">
      <w:pPr>
        <w:widowControl w:val="0"/>
        <w:spacing w:after="200" w:line="300" w:lineRule="auto"/>
        <w:rPr/>
      </w:pPr>
      <w:r w:rsidDel="00000000" w:rsidR="00000000" w:rsidRPr="00000000">
        <w:rPr>
          <w:rtl w:val="0"/>
        </w:rPr>
        <w:t xml:space="preserve">#WeActForHumanProgress #AXASafeSpaces #NOMORE #EndViolence</w:t>
      </w:r>
    </w:p>
    <w:p w:rsidR="00000000" w:rsidDel="00000000" w:rsidP="00000000" w:rsidRDefault="00000000" w:rsidRPr="00000000" w14:paraId="00000019">
      <w:pPr>
        <w:widowControl w:val="0"/>
        <w:spacing w:after="200" w:line="300" w:lineRule="auto"/>
        <w:rPr/>
      </w:pPr>
      <w:r w:rsidDel="00000000" w:rsidR="00000000" w:rsidRPr="00000000">
        <w:rPr>
          <w:rtl w:val="0"/>
        </w:rPr>
      </w:r>
    </w:p>
    <w:p w:rsidR="00000000" w:rsidDel="00000000" w:rsidP="00000000" w:rsidRDefault="00000000" w:rsidRPr="00000000" w14:paraId="0000001A">
      <w:pPr>
        <w:widowControl w:val="0"/>
        <w:spacing w:after="0" w:before="0" w:line="300" w:lineRule="auto"/>
        <w:rPr>
          <w:b w:val="1"/>
          <w:sz w:val="32"/>
          <w:szCs w:val="32"/>
        </w:rPr>
      </w:pPr>
      <w:r w:rsidDel="00000000" w:rsidR="00000000" w:rsidRPr="00000000">
        <w:rPr>
          <w:b w:val="1"/>
          <w:sz w:val="32"/>
          <w:szCs w:val="32"/>
          <w:rtl w:val="0"/>
        </w:rPr>
        <w:t xml:space="preserve">X</w:t>
      </w:r>
    </w:p>
    <w:p w:rsidR="00000000" w:rsidDel="00000000" w:rsidP="00000000" w:rsidRDefault="00000000" w:rsidRPr="00000000" w14:paraId="0000001B">
      <w:pPr>
        <w:widowControl w:val="0"/>
        <w:spacing w:after="0" w:before="0" w:line="300" w:lineRule="auto"/>
        <w:rPr>
          <w:b w:val="1"/>
        </w:rPr>
      </w:pPr>
      <w:r w:rsidDel="00000000" w:rsidR="00000000" w:rsidRPr="00000000">
        <w:rPr>
          <w:b w:val="1"/>
          <w:rtl w:val="0"/>
        </w:rPr>
        <w:t xml:space="preserve">Option 1:</w:t>
      </w:r>
    </w:p>
    <w:p w:rsidR="00000000" w:rsidDel="00000000" w:rsidP="00000000" w:rsidRDefault="00000000" w:rsidRPr="00000000" w14:paraId="0000001C">
      <w:pPr>
        <w:widowControl w:val="0"/>
        <w:spacing w:after="200" w:line="300" w:lineRule="auto"/>
        <w:rPr/>
      </w:pPr>
      <w:r w:rsidDel="00000000" w:rsidR="00000000" w:rsidRPr="00000000">
        <w:rPr>
          <w:rtl w:val="0"/>
        </w:rPr>
        <w:t xml:space="preserve">Tout le monde peut être victime de violence domestique et sexuelle. Pour beaucoup, le lieu de travail peut être le seul endroit sûr.</w:t>
      </w:r>
    </w:p>
    <w:p w:rsidR="00000000" w:rsidDel="00000000" w:rsidP="00000000" w:rsidRDefault="00000000" w:rsidRPr="00000000" w14:paraId="0000001D">
      <w:pPr>
        <w:widowControl w:val="0"/>
        <w:spacing w:after="200" w:line="300" w:lineRule="auto"/>
        <w:rPr/>
      </w:pPr>
      <w:r w:rsidDel="00000000" w:rsidR="00000000" w:rsidRPr="00000000">
        <w:rPr>
          <w:rtl w:val="0"/>
        </w:rPr>
        <w:t xml:space="preserve">AXA Safe Spaces propose une formation gratuite pour aider les organisations à : Reconnaître les signes. Réagir avec empathie. Orienter vers une aide.</w:t>
      </w:r>
    </w:p>
    <w:p w:rsidR="00000000" w:rsidDel="00000000" w:rsidP="00000000" w:rsidRDefault="00000000" w:rsidRPr="00000000" w14:paraId="0000001E">
      <w:pPr>
        <w:widowControl w:val="0"/>
        <w:spacing w:after="200" w:line="300" w:lineRule="auto"/>
        <w:rPr/>
      </w:pPr>
      <w:hyperlink r:id="rId11">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1F">
      <w:pPr>
        <w:widowControl w:val="0"/>
        <w:spacing w:after="200" w:line="300" w:lineRule="auto"/>
        <w:rPr/>
      </w:pPr>
      <w:r w:rsidDel="00000000" w:rsidR="00000000" w:rsidRPr="00000000">
        <w:rPr>
          <w:rtl w:val="0"/>
        </w:rPr>
        <w:t xml:space="preserve">#AXASafeSpaces</w:t>
      </w:r>
    </w:p>
    <w:p w:rsidR="00000000" w:rsidDel="00000000" w:rsidP="00000000" w:rsidRDefault="00000000" w:rsidRPr="00000000" w14:paraId="00000020">
      <w:pPr>
        <w:widowControl w:val="0"/>
        <w:spacing w:after="0" w:before="0" w:line="300" w:lineRule="auto"/>
        <w:rPr>
          <w:b w:val="1"/>
        </w:rPr>
      </w:pPr>
      <w:r w:rsidDel="00000000" w:rsidR="00000000" w:rsidRPr="00000000">
        <w:rPr>
          <w:b w:val="1"/>
          <w:rtl w:val="0"/>
        </w:rPr>
        <w:t xml:space="preserve">Option 2:</w:t>
      </w:r>
    </w:p>
    <w:p w:rsidR="00000000" w:rsidDel="00000000" w:rsidP="00000000" w:rsidRDefault="00000000" w:rsidRPr="00000000" w14:paraId="00000021">
      <w:pPr>
        <w:widowControl w:val="0"/>
        <w:spacing w:after="200" w:line="300" w:lineRule="auto"/>
        <w:rPr/>
      </w:pPr>
      <w:r w:rsidDel="00000000" w:rsidR="00000000" w:rsidRPr="00000000">
        <w:rPr>
          <w:rtl w:val="0"/>
        </w:rPr>
        <w:t xml:space="preserve">La violence domestique et sexuelle peut toucher n'importe qui. Chaque lieu de travail peut faire la différence.</w:t>
      </w:r>
    </w:p>
    <w:p w:rsidR="00000000" w:rsidDel="00000000" w:rsidP="00000000" w:rsidRDefault="00000000" w:rsidRPr="00000000" w14:paraId="00000022">
      <w:pPr>
        <w:widowControl w:val="0"/>
        <w:spacing w:after="200" w:line="300" w:lineRule="auto"/>
        <w:rPr/>
      </w:pPr>
      <w:r w:rsidDel="00000000" w:rsidR="00000000" w:rsidRPr="00000000">
        <w:rPr>
          <w:rtl w:val="0"/>
        </w:rPr>
        <w:t xml:space="preserve">AXA Safe Spaces propose des formations gratuites pour aider les organisations à : reconnaître les signes, réagir avec empathie, orienter les personnes concernées vers des services d'aide.</w:t>
      </w:r>
    </w:p>
    <w:p w:rsidR="00000000" w:rsidDel="00000000" w:rsidP="00000000" w:rsidRDefault="00000000" w:rsidRPr="00000000" w14:paraId="00000023">
      <w:pPr>
        <w:widowControl w:val="0"/>
        <w:spacing w:after="200" w:line="300" w:lineRule="auto"/>
        <w:rPr/>
      </w:pPr>
      <w:hyperlink r:id="rId12">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24">
      <w:pPr>
        <w:widowControl w:val="0"/>
        <w:spacing w:after="200" w:line="300" w:lineRule="auto"/>
        <w:rPr/>
      </w:pPr>
      <w:r w:rsidDel="00000000" w:rsidR="00000000" w:rsidRPr="00000000">
        <w:rPr>
          <w:rtl w:val="0"/>
        </w:rPr>
        <w:t xml:space="preserve">#AXASafeSpaces</w:t>
      </w:r>
    </w:p>
    <w:p w:rsidR="00000000" w:rsidDel="00000000" w:rsidP="00000000" w:rsidRDefault="00000000" w:rsidRPr="00000000" w14:paraId="00000025">
      <w:pPr>
        <w:widowControl w:val="0"/>
        <w:spacing w:after="200" w:line="300" w:lineRule="auto"/>
        <w:rPr/>
      </w:pPr>
      <w:r w:rsidDel="00000000" w:rsidR="00000000" w:rsidRPr="00000000">
        <w:rPr>
          <w:rtl w:val="0"/>
        </w:rPr>
      </w:r>
    </w:p>
    <w:p w:rsidR="00000000" w:rsidDel="00000000" w:rsidP="00000000" w:rsidRDefault="00000000" w:rsidRPr="00000000" w14:paraId="00000026">
      <w:pPr>
        <w:widowControl w:val="0"/>
        <w:spacing w:after="0" w:before="0" w:line="300" w:lineRule="auto"/>
        <w:rPr>
          <w:sz w:val="32"/>
          <w:szCs w:val="32"/>
        </w:rPr>
      </w:pPr>
      <w:r w:rsidDel="00000000" w:rsidR="00000000" w:rsidRPr="00000000">
        <w:rPr>
          <w:b w:val="1"/>
          <w:sz w:val="32"/>
          <w:szCs w:val="32"/>
          <w:rtl w:val="0"/>
        </w:rPr>
        <w:t xml:space="preserve">Citations destinées aux DRH ou leaders</w:t>
      </w:r>
      <w:r w:rsidDel="00000000" w:rsidR="00000000" w:rsidRPr="00000000">
        <w:rPr>
          <w:rtl w:val="0"/>
        </w:rPr>
      </w:r>
    </w:p>
    <w:p w:rsidR="00000000" w:rsidDel="00000000" w:rsidP="00000000" w:rsidRDefault="00000000" w:rsidRPr="00000000" w14:paraId="00000027">
      <w:pPr>
        <w:widowControl w:val="0"/>
        <w:spacing w:after="200" w:line="300" w:lineRule="auto"/>
        <w:rPr/>
      </w:pPr>
      <w:r w:rsidDel="00000000" w:rsidR="00000000" w:rsidRPr="00000000">
        <w:rPr>
          <w:rtl w:val="0"/>
        </w:rPr>
        <w:t xml:space="preserve">« Nous sommes fiers de soutenir la formation AXA Safe Spaces, qui constitue une avancée majeure vers la création de lieux de travail plus sûrs et bienveillants pour les personnes touchées par les violences domestiques et sexuelles. »</w:t>
      </w:r>
    </w:p>
    <w:p w:rsidR="00000000" w:rsidDel="00000000" w:rsidP="00000000" w:rsidRDefault="00000000" w:rsidRPr="00000000" w14:paraId="00000028">
      <w:pPr>
        <w:widowControl w:val="0"/>
        <w:spacing w:after="200" w:line="300" w:lineRule="auto"/>
        <w:rPr/>
      </w:pPr>
      <w:r w:rsidDel="00000000" w:rsidR="00000000" w:rsidRPr="00000000">
        <w:rPr>
          <w:rtl w:val="0"/>
        </w:rPr>
        <w:t xml:space="preserve">« AXA Safe Spaces est une formation indispensable pour toute organisation qui souhaite soutenir les personnes touchées par les violences domestiques et sexuelles. »</w:t>
      </w:r>
    </w:p>
    <w:p w:rsidR="00000000" w:rsidDel="00000000" w:rsidP="00000000" w:rsidRDefault="00000000" w:rsidRPr="00000000" w14:paraId="00000029">
      <w:pPr>
        <w:widowControl w:val="0"/>
        <w:spacing w:after="200" w:line="300" w:lineRule="auto"/>
        <w:rPr/>
      </w:pPr>
      <w:r w:rsidDel="00000000" w:rsidR="00000000" w:rsidRPr="00000000">
        <w:rPr>
          <w:rtl w:val="0"/>
        </w:rPr>
        <w:t xml:space="preserve">« AXA Safe Spaces donne à chaque organisation les outils nécessaires pour reconnaître, réagir et orienter les personnes vers des services spécialisés. Ensemble, nous pouvons soutenir les personnes concernées. »</w:t>
      </w:r>
    </w:p>
    <w:p w:rsidR="00000000" w:rsidDel="00000000" w:rsidP="00000000" w:rsidRDefault="00000000" w:rsidRPr="00000000" w14:paraId="0000002A">
      <w:pPr>
        <w:widowControl w:val="0"/>
        <w:spacing w:after="200" w:line="300" w:lineRule="auto"/>
        <w:rPr/>
      </w:pPr>
      <w:r w:rsidDel="00000000" w:rsidR="00000000" w:rsidRPr="00000000">
        <w:rPr>
          <w:rtl w:val="0"/>
        </w:rPr>
        <w:t xml:space="preserve">« Étant donné que tout le monde peut être victime de violences domestiques et sexuelles, nous nous engageons à faire de notre lieu de travail un espace sûr et bienveillant. La formation AXA Safe Spaces nous aide à atteindre cet objectif. »</w:t>
      </w:r>
    </w:p>
    <w:p w:rsidR="00000000" w:rsidDel="00000000" w:rsidP="00000000" w:rsidRDefault="00000000" w:rsidRPr="00000000" w14:paraId="0000002B">
      <w:pPr>
        <w:widowControl w:val="0"/>
        <w:spacing w:after="200" w:line="300" w:lineRule="auto"/>
        <w:rPr/>
      </w:pPr>
      <w:r w:rsidDel="00000000" w:rsidR="00000000" w:rsidRPr="00000000">
        <w:rPr>
          <w:rtl w:val="0"/>
        </w:rPr>
        <w:t xml:space="preserve">« Avec nos collègues du monde entier, nous sommes fiers de partager AXA Safe Spaces et d'aider les personnes touchées par les violences domestiques et sexuelles à obtenir le soutien dont elles ont besoin. »</w:t>
      </w:r>
    </w:p>
    <w:p w:rsidR="00000000" w:rsidDel="00000000" w:rsidP="00000000" w:rsidRDefault="00000000" w:rsidRPr="00000000" w14:paraId="0000002C">
      <w:pPr>
        <w:widowControl w:val="0"/>
        <w:spacing w:after="200" w:line="300" w:lineRule="auto"/>
        <w:rPr/>
      </w:pPr>
      <w:r w:rsidDel="00000000" w:rsidR="00000000" w:rsidRPr="00000000">
        <w:rPr>
          <w:rtl w:val="0"/>
        </w:rPr>
        <w:t xml:space="preserve">« Tout le monde peut être victime de violences domestiques et sexuelles. C'est pourquoi la formation AXA Safe Spaces est essentielle pour aider à reconnaître les signes, réagir avec empathie et orienter les personnes concernées vers des services spécialisés. »</w:t>
      </w:r>
    </w:p>
    <w:p w:rsidR="00000000" w:rsidDel="00000000" w:rsidP="00000000" w:rsidRDefault="00000000" w:rsidRPr="00000000" w14:paraId="0000002D">
      <w:pPr>
        <w:widowControl w:val="0"/>
        <w:spacing w:after="200" w:line="300" w:lineRule="auto"/>
        <w:rPr/>
      </w:pPr>
      <w:r w:rsidDel="00000000" w:rsidR="00000000" w:rsidRPr="00000000">
        <w:rPr>
          <w:rtl w:val="0"/>
        </w:rPr>
        <w:t xml:space="preserve">« Tout le monde peut être victime de violences domestiques et sexuelles. Chaque lieu de travail a le pouvoir de faire la différence. Ensemble, faisons de chaque lieu de travail un espace sûr pour les personnes concernées. #AXASafeSpaces »</w:t>
      </w:r>
    </w:p>
    <w:sectPr>
      <w:footerReference r:id="rId13" w:type="default"/>
      <w:footerReference r:id="rId14" w:type="first"/>
      <w:footerReference r:id="rId15"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6" name=""/>
              <a:graphic>
                <a:graphicData uri="http://schemas.microsoft.com/office/word/2010/wordprocessingShape">
                  <wps:wsp>
                    <wps:cNvSpPr/>
                    <wps:cNvPr id="3" name="Shape 3"/>
                    <wps:spPr>
                      <a:xfrm>
                        <a:off x="4888800" y="3613313"/>
                        <a:ext cx="914400"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GIE_AXA_Internal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6" name="image2.png"/>
              <a:graphic>
                <a:graphicData uri="http://schemas.openxmlformats.org/drawingml/2006/picture">
                  <pic:pic>
                    <pic:nvPicPr>
                      <pic:cNvPr descr="GIE_AXA_Internal" id="0" name="image2.png"/>
                      <pic:cNvPicPr preferRelativeResize="0"/>
                    </pic:nvPicPr>
                    <pic:blipFill>
                      <a:blip r:embed="rId1"/>
                      <a:srcRect/>
                      <a:stretch>
                        <a:fillRect/>
                      </a:stretch>
                    </pic:blipFill>
                    <pic:spPr>
                      <a:xfrm>
                        <a:off x="0" y="0"/>
                        <a:ext cx="942975" cy="36195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5" name=""/>
              <a:graphic>
                <a:graphicData uri="http://schemas.microsoft.com/office/word/2010/wordprocessingShape">
                  <wps:wsp>
                    <wps:cNvSpPr/>
                    <wps:cNvPr id="2" name="Shape 2"/>
                    <wps:spPr>
                      <a:xfrm>
                        <a:off x="4888800" y="3613313"/>
                        <a:ext cx="914400"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GIE_AXA_Internal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5" name="image1.png"/>
              <a:graphic>
                <a:graphicData uri="http://schemas.openxmlformats.org/drawingml/2006/picture">
                  <pic:pic>
                    <pic:nvPicPr>
                      <pic:cNvPr descr="GIE_AXA_Internal" id="0" name="image1.png"/>
                      <pic:cNvPicPr preferRelativeResize="0"/>
                    </pic:nvPicPr>
                    <pic:blipFill>
                      <a:blip r:embed="rId1"/>
                      <a:srcRect/>
                      <a:stretch>
                        <a:fillRect/>
                      </a:stretch>
                    </pic:blipFill>
                    <pic:spPr>
                      <a:xfrm>
                        <a:off x="0" y="0"/>
                        <a:ext cx="942975" cy="36195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left="720"/>
    </w:pPr>
    <w:rPr>
      <w:color w:val="008000"/>
      <w:sz w:val="36"/>
      <w:szCs w:val="36"/>
    </w:rPr>
  </w:style>
  <w:style w:type="paragraph" w:styleId="Heading2">
    <w:name w:val="heading 2"/>
    <w:basedOn w:val="Normal"/>
    <w:next w:val="Normal"/>
    <w:pPr>
      <w:keepNext w:val="1"/>
      <w:keepLines w:val="1"/>
      <w:spacing w:before="120" w:lineRule="auto"/>
    </w:pPr>
    <w:rPr>
      <w:rFonts w:ascii="Trebuchet MS" w:cs="Trebuchet MS" w:eastAsia="Trebuchet MS" w:hAnsi="Trebuchet MS"/>
      <w:b w:val="1"/>
      <w:sz w:val="18"/>
      <w:szCs w:val="18"/>
    </w:rPr>
  </w:style>
  <w:style w:type="paragraph" w:styleId="Heading3">
    <w:name w:val="heading 3"/>
    <w:basedOn w:val="Normal"/>
    <w:next w:val="Normal"/>
    <w:pPr>
      <w:keepNext w:val="1"/>
      <w:keepLines w:val="1"/>
      <w:ind w:left="720" w:hanging="360"/>
    </w:pPr>
    <w:rPr>
      <w:rFonts w:ascii="Trebuchet MS" w:cs="Trebuchet MS" w:eastAsia="Trebuchet MS" w:hAnsi="Trebuchet MS"/>
      <w:sz w:val="18"/>
      <w:szCs w:val="18"/>
    </w:rPr>
  </w:style>
  <w:style w:type="paragraph" w:styleId="Heading4">
    <w:name w:val="heading 4"/>
    <w:basedOn w:val="Normal"/>
    <w:next w:val="Normal"/>
    <w:pPr>
      <w:keepNext w:val="1"/>
      <w:keepLines w:val="1"/>
      <w:spacing w:after="60" w:before="240" w:lineRule="auto"/>
    </w:pPr>
    <w:rPr>
      <w:rFonts w:ascii="Trebuchet MS" w:cs="Trebuchet MS" w:eastAsia="Trebuchet MS" w:hAnsi="Trebuchet MS"/>
      <w:b w:val="1"/>
      <w:color w:val="99cc00"/>
      <w:sz w:val="18"/>
      <w:szCs w:val="18"/>
      <w:u w:val="single"/>
    </w:rPr>
  </w:style>
  <w:style w:type="paragraph" w:styleId="Heading5">
    <w:name w:val="heading 5"/>
    <w:basedOn w:val="Normal"/>
    <w:next w:val="Normal"/>
    <w:pPr>
      <w:keepNext w:val="1"/>
      <w:keepLines w:val="1"/>
      <w:jc w:val="center"/>
    </w:pPr>
    <w:rPr>
      <w:rFonts w:ascii="Trebuchet MS" w:cs="Trebuchet MS" w:eastAsia="Trebuchet MS" w:hAnsi="Trebuchet MS"/>
      <w:sz w:val="18"/>
      <w:szCs w:val="1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afespaces-againstviolence.axa.com" TargetMode="External"/><Relationship Id="rId10" Type="http://schemas.openxmlformats.org/officeDocument/2006/relationships/hyperlink" Target="http://safespaces-againstviolence.axa.com" TargetMode="External"/><Relationship Id="rId13" Type="http://schemas.openxmlformats.org/officeDocument/2006/relationships/footer" Target="footer1.xml"/><Relationship Id="rId12" Type="http://schemas.openxmlformats.org/officeDocument/2006/relationships/hyperlink" Target="http://safespaces-againstviolence.ax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moredirectory.org/"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omoredirectory.org/" TargetMode="External"/><Relationship Id="rId8" Type="http://schemas.openxmlformats.org/officeDocument/2006/relationships/hyperlink" Target="http://safespaces-againstviolence.axa.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hlYOtdwL/JKe6QzFbbCMZKdLJA==">CgMxLjA4AHIhMVB0NTdzYlhKTTVMNlVaSjctWDZnU1U4cEM0dXBsaFVC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0x010100D0DC47FE38099D48B01298BAD13A3418</vt:lpwstr>
  </property>
  <property fmtid="{D5CDD505-2E9C-101B-9397-08002B2CF9AE}" pid="3" name="ClassificationContentMarkingFooterShapeIds">
    <vt:lpwstr>259c2e11,b1b3182,235012df</vt:lpwstr>
  </property>
  <property fmtid="{D5CDD505-2E9C-101B-9397-08002B2CF9AE}" pid="4" name="ClassificationContentMarkingFooterFontProps">
    <vt:lpwstr>#000000,10,Calibri</vt:lpwstr>
  </property>
  <property fmtid="{D5CDD505-2E9C-101B-9397-08002B2CF9AE}" pid="5" name="ClassificationContentMarkingFooterText">
    <vt:lpwstr>GIE_AXA_Internal</vt:lpwstr>
  </property>
  <property fmtid="{D5CDD505-2E9C-101B-9397-08002B2CF9AE}" pid="6" name="MSIP_Label_724780b5-9b6f-48c0-bacb-de7ed96313a2_Enabled">
    <vt:lpwstr>true</vt:lpwstr>
  </property>
  <property fmtid="{D5CDD505-2E9C-101B-9397-08002B2CF9AE}" pid="7" name="MSIP_Label_724780b5-9b6f-48c0-bacb-de7ed96313a2_SetDate">
    <vt:lpwstr>2025-07-08T12:18:53Z</vt:lpwstr>
  </property>
  <property fmtid="{D5CDD505-2E9C-101B-9397-08002B2CF9AE}" pid="8" name="MSIP_Label_724780b5-9b6f-48c0-bacb-de7ed96313a2_Method">
    <vt:lpwstr>Standard</vt:lpwstr>
  </property>
  <property fmtid="{D5CDD505-2E9C-101B-9397-08002B2CF9AE}" pid="9" name="MSIP_Label_724780b5-9b6f-48c0-bacb-de7ed96313a2_Name">
    <vt:lpwstr>GIE_AXA_Internal</vt:lpwstr>
  </property>
  <property fmtid="{D5CDD505-2E9C-101B-9397-08002B2CF9AE}" pid="10" name="MSIP_Label_724780b5-9b6f-48c0-bacb-de7ed96313a2_SiteId">
    <vt:lpwstr>396b38cc-aa65-492b-bb0e-3d94ed25a97b</vt:lpwstr>
  </property>
  <property fmtid="{D5CDD505-2E9C-101B-9397-08002B2CF9AE}" pid="11" name="MSIP_Label_724780b5-9b6f-48c0-bacb-de7ed96313a2_ActionId">
    <vt:lpwstr>6d985c8a-63c9-42ce-9c5a-05ebc83954af</vt:lpwstr>
  </property>
  <property fmtid="{D5CDD505-2E9C-101B-9397-08002B2CF9AE}" pid="12" name="MSIP_Label_724780b5-9b6f-48c0-bacb-de7ed96313a2_ContentBits">
    <vt:lpwstr>2</vt:lpwstr>
  </property>
  <property fmtid="{D5CDD505-2E9C-101B-9397-08002B2CF9AE}" pid="13" name="MSIP_Label_724780b5-9b6f-48c0-bacb-de7ed96313a2_Tag">
    <vt:lpwstr>10, 3, 0, 2</vt:lpwstr>
  </property>
</Properties>
</file>